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B025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_GBK" w:hAnsi="方正小标宋_GBK" w:eastAsia="方正小标宋_GBK" w:cs="方正小标宋_GBK"/>
          <w:b/>
          <w:bCs/>
          <w:spacing w:val="-1"/>
          <w:sz w:val="44"/>
          <w:szCs w:val="44"/>
          <w:lang w:val="en-US" w:eastAsia="zh-CN"/>
        </w:rPr>
      </w:pPr>
      <w:r>
        <w:rPr>
          <w:rFonts w:hint="eastAsia" w:ascii="方正小标宋_GBK" w:hAnsi="方正小标宋_GBK" w:eastAsia="方正小标宋_GBK" w:cs="方正小标宋_GBK"/>
          <w:b/>
          <w:bCs/>
          <w:spacing w:val="-1"/>
          <w:sz w:val="44"/>
          <w:szCs w:val="44"/>
          <w:lang w:val="en-US" w:eastAsia="zh-CN"/>
        </w:rPr>
        <w:t>西南民族地区乡村振兴联盟“揭榜挂帅”</w:t>
      </w:r>
    </w:p>
    <w:p w14:paraId="505EDF2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bCs/>
          <w:spacing w:val="-1"/>
          <w:sz w:val="44"/>
          <w:szCs w:val="44"/>
          <w:lang w:val="en-US" w:eastAsia="zh-CN"/>
        </w:rPr>
        <w:t>项目</w:t>
      </w:r>
      <w:r>
        <w:rPr>
          <w:rFonts w:hint="eastAsia" w:ascii="方正小标宋_GBK" w:hAnsi="方正小标宋_GBK" w:eastAsia="方正小标宋_GBK" w:cs="方正小标宋_GBK"/>
          <w:b/>
          <w:bCs/>
          <w:spacing w:val="-1"/>
          <w:sz w:val="44"/>
          <w:szCs w:val="44"/>
        </w:rPr>
        <w:t>经费管理办法</w:t>
      </w:r>
    </w:p>
    <w:p w14:paraId="7F08B789">
      <w:pPr>
        <w:spacing w:line="242" w:lineRule="auto"/>
        <w:rPr>
          <w:rFonts w:ascii="Arial"/>
          <w:sz w:val="21"/>
        </w:rPr>
      </w:pPr>
    </w:p>
    <w:p w14:paraId="34A7A4AB">
      <w:pPr>
        <w:spacing w:line="243" w:lineRule="auto"/>
        <w:rPr>
          <w:rFonts w:ascii="Arial"/>
          <w:sz w:val="21"/>
        </w:rPr>
      </w:pPr>
    </w:p>
    <w:p w14:paraId="7B32A08E">
      <w:pPr>
        <w:spacing w:line="243" w:lineRule="auto"/>
        <w:rPr>
          <w:rFonts w:ascii="Arial"/>
          <w:sz w:val="21"/>
        </w:rPr>
      </w:pPr>
    </w:p>
    <w:p w14:paraId="6A7619DF">
      <w:pPr>
        <w:spacing w:line="243" w:lineRule="auto"/>
        <w:rPr>
          <w:rFonts w:ascii="Arial"/>
          <w:sz w:val="21"/>
        </w:rPr>
      </w:pPr>
    </w:p>
    <w:p w14:paraId="5783F809">
      <w:pPr>
        <w:spacing w:line="243" w:lineRule="auto"/>
        <w:rPr>
          <w:rFonts w:ascii="Arial"/>
          <w:sz w:val="21"/>
        </w:rPr>
      </w:pPr>
    </w:p>
    <w:p w14:paraId="2AD1CF0B">
      <w:pPr>
        <w:keepNext w:val="0"/>
        <w:keepLines w:val="0"/>
        <w:pageBreakBefore w:val="0"/>
        <w:widowControl/>
        <w:kinsoku w:val="0"/>
        <w:wordWrap/>
        <w:overflowPunct/>
        <w:topLinePunct w:val="0"/>
        <w:autoSpaceDE w:val="0"/>
        <w:autoSpaceDN w:val="0"/>
        <w:bidi w:val="0"/>
        <w:adjustRightInd w:val="0"/>
        <w:snapToGrid w:val="0"/>
        <w:spacing w:before="97" w:line="600" w:lineRule="exact"/>
        <w:ind w:left="0" w:leftChars="0" w:firstLine="0" w:firstLineChars="0"/>
        <w:jc w:val="center"/>
        <w:textAlignment w:val="baseline"/>
        <w:outlineLvl w:val="2"/>
        <w:rPr>
          <w:rFonts w:ascii="黑体" w:hAnsi="黑体" w:eastAsia="黑体" w:cs="黑体"/>
          <w:b/>
          <w:bCs/>
          <w:spacing w:val="8"/>
          <w:sz w:val="30"/>
          <w:szCs w:val="30"/>
        </w:rPr>
      </w:pPr>
      <w:r>
        <w:rPr>
          <w:rFonts w:ascii="黑体" w:hAnsi="黑体" w:eastAsia="黑体" w:cs="黑体"/>
          <w:b/>
          <w:bCs/>
          <w:spacing w:val="8"/>
          <w:sz w:val="30"/>
          <w:szCs w:val="30"/>
        </w:rPr>
        <w:t>第</w:t>
      </w:r>
      <w:r>
        <w:rPr>
          <w:rFonts w:ascii="黑体" w:hAnsi="黑体" w:eastAsia="黑体" w:cs="黑体"/>
          <w:spacing w:val="-80"/>
          <w:sz w:val="30"/>
          <w:szCs w:val="30"/>
        </w:rPr>
        <w:t xml:space="preserve"> </w:t>
      </w:r>
      <w:r>
        <w:rPr>
          <w:rFonts w:ascii="黑体" w:hAnsi="黑体" w:eastAsia="黑体" w:cs="黑体"/>
          <w:b/>
          <w:bCs/>
          <w:spacing w:val="8"/>
          <w:sz w:val="30"/>
          <w:szCs w:val="30"/>
        </w:rPr>
        <w:t>一</w:t>
      </w:r>
      <w:r>
        <w:rPr>
          <w:rFonts w:ascii="黑体" w:hAnsi="黑体" w:eastAsia="黑体" w:cs="黑体"/>
          <w:spacing w:val="-86"/>
          <w:sz w:val="30"/>
          <w:szCs w:val="30"/>
        </w:rPr>
        <w:t xml:space="preserve"> </w:t>
      </w:r>
      <w:r>
        <w:rPr>
          <w:rFonts w:ascii="黑体" w:hAnsi="黑体" w:eastAsia="黑体" w:cs="黑体"/>
          <w:b/>
          <w:bCs/>
          <w:spacing w:val="8"/>
          <w:sz w:val="30"/>
          <w:szCs w:val="30"/>
        </w:rPr>
        <w:t>章</w:t>
      </w:r>
      <w:r>
        <w:rPr>
          <w:rFonts w:hint="eastAsia" w:ascii="黑体" w:hAnsi="黑体" w:eastAsia="黑体" w:cs="黑体"/>
          <w:b/>
          <w:bCs/>
          <w:spacing w:val="8"/>
          <w:sz w:val="30"/>
          <w:szCs w:val="30"/>
          <w:lang w:val="en-US" w:eastAsia="zh-CN"/>
        </w:rPr>
        <w:t xml:space="preserve">  </w:t>
      </w:r>
      <w:r>
        <w:rPr>
          <w:rFonts w:ascii="黑体" w:hAnsi="黑体" w:eastAsia="黑体" w:cs="黑体"/>
          <w:b/>
          <w:bCs/>
          <w:spacing w:val="8"/>
          <w:sz w:val="30"/>
          <w:szCs w:val="30"/>
        </w:rPr>
        <w:t>总则</w:t>
      </w:r>
    </w:p>
    <w:p w14:paraId="3531031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right="0" w:firstLine="643" w:firstLineChars="200"/>
        <w:jc w:val="left"/>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bCs/>
          <w:i w:val="0"/>
          <w:iCs w:val="0"/>
          <w:caps w:val="0"/>
          <w:color w:val="000000"/>
          <w:spacing w:val="0"/>
          <w:sz w:val="32"/>
          <w:szCs w:val="32"/>
          <w:shd w:val="clear" w:color="auto" w:fill="FFFFFF"/>
          <w:lang w:val="en-US" w:eastAsia="zh-CN"/>
        </w:rPr>
        <w:t>第一条</w:t>
      </w:r>
      <w:r>
        <w:rPr>
          <w:rFonts w:hint="eastAsia" w:ascii="仿宋_GB2312" w:hAnsi="仿宋_GB2312" w:eastAsia="仿宋_GB2312" w:cs="仿宋_GB2312"/>
          <w:i w:val="0"/>
          <w:iCs w:val="0"/>
          <w:caps w:val="0"/>
          <w:color w:val="000000"/>
          <w:spacing w:val="0"/>
          <w:sz w:val="32"/>
          <w:szCs w:val="32"/>
          <w:shd w:val="clear" w:color="auto" w:fill="FFFFFF"/>
          <w:lang w:val="en-US" w:eastAsia="zh-CN"/>
        </w:rPr>
        <w:t xml:space="preserve"> 为规范西南民族地区乡村振兴联盟“揭榜挂帅”项目（以下简称“揭榜挂帅项目”）经费管理，保障经费使用合法、合规、高效，助力项目突破西南民族地区乡村振兴关键技术瓶颈、推动成果落地，依据《中华人民共和国民法典》《国务院关于优化科研管理提升科研绩效若干措施的通知》《国务院办公厅关于抓好赋予科研机构和人员更大自主权有关文件贯彻落实工作的通知》等相关法律法规和文件精神，结合联盟项目实际情况，制订本办法。</w:t>
      </w:r>
    </w:p>
    <w:p w14:paraId="55F042E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600" w:lineRule="atLeast"/>
        <w:ind w:right="0" w:firstLine="643" w:firstLineChars="200"/>
        <w:jc w:val="left"/>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bCs/>
          <w:i w:val="0"/>
          <w:iCs w:val="0"/>
          <w:caps w:val="0"/>
          <w:color w:val="000000"/>
          <w:spacing w:val="0"/>
          <w:sz w:val="32"/>
          <w:szCs w:val="32"/>
          <w:shd w:val="clear" w:color="auto" w:fill="FFFFFF"/>
          <w:lang w:val="en-US" w:eastAsia="zh-CN"/>
        </w:rPr>
        <w:t xml:space="preserve">第二条 </w:t>
      </w:r>
      <w:r>
        <w:rPr>
          <w:rFonts w:hint="eastAsia" w:ascii="仿宋_GB2312" w:hAnsi="仿宋_GB2312" w:eastAsia="仿宋_GB2312" w:cs="仿宋_GB2312"/>
          <w:i w:val="0"/>
          <w:iCs w:val="0"/>
          <w:caps w:val="0"/>
          <w:color w:val="000000"/>
          <w:spacing w:val="0"/>
          <w:sz w:val="32"/>
          <w:szCs w:val="32"/>
          <w:shd w:val="clear" w:color="auto" w:fill="FFFFFF"/>
          <w:lang w:val="en-US" w:eastAsia="zh-CN"/>
        </w:rPr>
        <w:t>本办法适用于西南民族地区乡村振兴联盟发布的“揭榜挂帅”项目的经费预算、支出、监管等全流程管理，揭榜方、联盟秘书处均需遵照执行。</w:t>
      </w:r>
    </w:p>
    <w:p w14:paraId="1103FFD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600" w:lineRule="atLeast"/>
        <w:ind w:right="0" w:firstLine="643" w:firstLineChars="200"/>
        <w:jc w:val="left"/>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bCs/>
          <w:i w:val="0"/>
          <w:iCs w:val="0"/>
          <w:caps w:val="0"/>
          <w:color w:val="000000"/>
          <w:spacing w:val="0"/>
          <w:sz w:val="32"/>
          <w:szCs w:val="32"/>
          <w:shd w:val="clear" w:color="auto" w:fill="FFFFFF"/>
          <w:lang w:val="en-US" w:eastAsia="zh-CN"/>
        </w:rPr>
        <w:t xml:space="preserve">第三条 </w:t>
      </w:r>
      <w:r>
        <w:rPr>
          <w:rFonts w:hint="eastAsia" w:ascii="仿宋_GB2312" w:hAnsi="仿宋_GB2312" w:eastAsia="仿宋_GB2312" w:cs="仿宋_GB2312"/>
          <w:i w:val="0"/>
          <w:iCs w:val="0"/>
          <w:caps w:val="0"/>
          <w:color w:val="000000"/>
          <w:spacing w:val="0"/>
          <w:sz w:val="32"/>
          <w:szCs w:val="32"/>
          <w:shd w:val="clear" w:color="auto" w:fill="FFFFFF"/>
          <w:lang w:val="en-US" w:eastAsia="zh-CN"/>
        </w:rPr>
        <w:t>经费管理原则。</w:t>
      </w:r>
      <w:r>
        <w:rPr>
          <w:rFonts w:hint="eastAsia" w:ascii="仿宋_GB2312" w:hAnsi="仿宋_GB2312" w:eastAsia="仿宋_GB2312" w:cs="仿宋_GB2312"/>
          <w:i w:val="0"/>
          <w:iCs w:val="0"/>
          <w:caps w:val="0"/>
          <w:color w:val="000000"/>
          <w:spacing w:val="0"/>
          <w:sz w:val="32"/>
          <w:szCs w:val="32"/>
          <w:shd w:val="clear" w:color="auto" w:fill="FFFFFF"/>
          <w:lang w:val="en-US" w:eastAsia="zh-CN"/>
        </w:rPr>
        <w:br w:type="textWrapping"/>
      </w:r>
      <w:r>
        <w:rPr>
          <w:rFonts w:hint="eastAsia" w:ascii="仿宋_GB2312" w:hAnsi="仿宋_GB2312" w:eastAsia="仿宋_GB2312" w:cs="仿宋_GB2312"/>
          <w:i w:val="0"/>
          <w:iCs w:val="0"/>
          <w:caps w:val="0"/>
          <w:color w:val="000000"/>
          <w:spacing w:val="0"/>
          <w:sz w:val="32"/>
          <w:szCs w:val="32"/>
          <w:shd w:val="clear" w:color="auto" w:fill="FFFFFF"/>
          <w:lang w:val="en-US" w:eastAsia="zh-CN"/>
        </w:rPr>
        <w:t xml:space="preserve">   （一）专款专用原则：项目经费需严格按照申报书约定及预算用途使用，单独核算，不得挪作他用。</w:t>
      </w:r>
      <w:r>
        <w:rPr>
          <w:rFonts w:hint="eastAsia" w:ascii="仿宋_GB2312" w:hAnsi="仿宋_GB2312" w:eastAsia="仿宋_GB2312" w:cs="仿宋_GB2312"/>
          <w:i w:val="0"/>
          <w:iCs w:val="0"/>
          <w:caps w:val="0"/>
          <w:color w:val="000000"/>
          <w:spacing w:val="0"/>
          <w:sz w:val="32"/>
          <w:szCs w:val="32"/>
          <w:shd w:val="clear" w:color="auto" w:fill="FFFFFF"/>
          <w:lang w:val="en-US" w:eastAsia="zh-CN"/>
        </w:rPr>
        <w:br w:type="textWrapping"/>
      </w:r>
      <w:r>
        <w:rPr>
          <w:rFonts w:hint="eastAsia" w:ascii="仿宋_GB2312" w:hAnsi="仿宋_GB2312" w:eastAsia="仿宋_GB2312" w:cs="仿宋_GB2312"/>
          <w:i w:val="0"/>
          <w:iCs w:val="0"/>
          <w:caps w:val="0"/>
          <w:color w:val="000000"/>
          <w:spacing w:val="0"/>
          <w:sz w:val="32"/>
          <w:szCs w:val="32"/>
          <w:shd w:val="clear" w:color="auto" w:fill="FFFFFF"/>
          <w:lang w:val="en-US" w:eastAsia="zh-CN"/>
        </w:rPr>
        <w:t xml:space="preserve">   （二）目标匹配原则：经费支出与项目研究目标、考核指标（如种质资源收集数量、设备研制参数、论文专利产出、调研报告编制等）直接相关，避免无效开支。</w:t>
      </w:r>
    </w:p>
    <w:p w14:paraId="6E30E5B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600" w:lineRule="atLeast"/>
        <w:ind w:right="0" w:firstLine="640" w:firstLineChars="200"/>
        <w:jc w:val="left"/>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（三）精简高效原则：简化预算编制与调整流程，优先保障直接科研支出，严控非必要间接费用。</w:t>
      </w:r>
    </w:p>
    <w:p w14:paraId="685B16B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600" w:lineRule="atLeast"/>
        <w:ind w:right="0" w:firstLine="640" w:firstLineChars="200"/>
        <w:jc w:val="left"/>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（四）公开透明原则：项目经费的预算、支出、决算等信息应在符合保密规定的前提下，按要求向联盟秘书处报备，接受监督检查，确保经费使用过程可追溯、可核查。</w:t>
      </w:r>
    </w:p>
    <w:p w14:paraId="242E905F">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ascii="Arial"/>
          <w:sz w:val="21"/>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第四条</w:t>
      </w:r>
      <w:r>
        <w:rPr>
          <w:spacing w:val="10"/>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项目负责人是项目实施及项目经费执行等事务的第 一责任人，对项目执行验收，项目经费使用的真实性、合法性和 有效性承担经济与法律责任，并对科研成果的真实性承担相应责 任，自觉接受国家有关部门、联盟秘书处及申报单位的监督检查。揭榜方需建立健全内部经费管理机制，协助项目负责人做好经费管理工作，对经费使用的合规性进行内部审核。</w:t>
      </w:r>
    </w:p>
    <w:p w14:paraId="05951939">
      <w:pPr>
        <w:keepNext w:val="0"/>
        <w:keepLines w:val="0"/>
        <w:pageBreakBefore w:val="0"/>
        <w:widowControl/>
        <w:kinsoku w:val="0"/>
        <w:wordWrap/>
        <w:overflowPunct/>
        <w:topLinePunct w:val="0"/>
        <w:autoSpaceDE w:val="0"/>
        <w:autoSpaceDN w:val="0"/>
        <w:bidi w:val="0"/>
        <w:adjustRightInd w:val="0"/>
        <w:snapToGrid w:val="0"/>
        <w:spacing w:before="97" w:line="600" w:lineRule="atLeast"/>
        <w:ind w:left="0" w:leftChars="0" w:firstLine="0" w:firstLineChars="0"/>
        <w:jc w:val="center"/>
        <w:textAlignment w:val="baseline"/>
        <w:outlineLvl w:val="2"/>
        <w:rPr>
          <w:rFonts w:ascii="黑体" w:hAnsi="黑体" w:eastAsia="黑体" w:cs="黑体"/>
          <w:b/>
          <w:bCs/>
          <w:spacing w:val="8"/>
          <w:sz w:val="30"/>
          <w:szCs w:val="30"/>
        </w:rPr>
      </w:pPr>
      <w:r>
        <w:rPr>
          <w:rFonts w:ascii="黑体" w:hAnsi="黑体" w:eastAsia="黑体" w:cs="黑体"/>
          <w:b/>
          <w:bCs/>
          <w:spacing w:val="8"/>
          <w:sz w:val="30"/>
          <w:szCs w:val="30"/>
        </w:rPr>
        <w:t>第</w:t>
      </w:r>
      <w:r>
        <w:rPr>
          <w:rFonts w:hint="eastAsia" w:ascii="黑体" w:hAnsi="黑体" w:eastAsia="黑体" w:cs="黑体"/>
          <w:b/>
          <w:bCs/>
          <w:spacing w:val="8"/>
          <w:sz w:val="30"/>
          <w:szCs w:val="30"/>
          <w:lang w:val="en-US" w:eastAsia="zh-CN"/>
        </w:rPr>
        <w:t>二</w:t>
      </w:r>
      <w:r>
        <w:rPr>
          <w:rFonts w:ascii="黑体" w:hAnsi="黑体" w:eastAsia="黑体" w:cs="黑体"/>
          <w:b/>
          <w:bCs/>
          <w:spacing w:val="8"/>
          <w:sz w:val="30"/>
          <w:szCs w:val="30"/>
        </w:rPr>
        <w:t>章</w:t>
      </w:r>
      <w:r>
        <w:rPr>
          <w:rFonts w:hint="eastAsia" w:ascii="黑体" w:hAnsi="黑体" w:eastAsia="黑体" w:cs="黑体"/>
          <w:b/>
          <w:bCs/>
          <w:spacing w:val="8"/>
          <w:sz w:val="30"/>
          <w:szCs w:val="30"/>
          <w:lang w:val="en-US" w:eastAsia="zh-CN"/>
        </w:rPr>
        <w:t xml:space="preserve"> </w:t>
      </w:r>
      <w:r>
        <w:rPr>
          <w:rFonts w:ascii="黑体" w:hAnsi="黑体" w:eastAsia="黑体" w:cs="黑体"/>
          <w:b/>
          <w:bCs/>
          <w:spacing w:val="8"/>
          <w:sz w:val="30"/>
          <w:szCs w:val="30"/>
        </w:rPr>
        <w:t>经费</w:t>
      </w:r>
      <w:r>
        <w:rPr>
          <w:rFonts w:hint="eastAsia" w:ascii="黑体" w:hAnsi="黑体" w:eastAsia="黑体" w:cs="黑体"/>
          <w:b/>
          <w:bCs/>
          <w:spacing w:val="8"/>
          <w:sz w:val="30"/>
          <w:szCs w:val="30"/>
          <w:lang w:val="en-US" w:eastAsia="zh-CN"/>
        </w:rPr>
        <w:t>预算</w:t>
      </w:r>
      <w:r>
        <w:rPr>
          <w:rFonts w:ascii="黑体" w:hAnsi="黑体" w:eastAsia="黑体" w:cs="黑体"/>
          <w:b/>
          <w:bCs/>
          <w:spacing w:val="8"/>
          <w:sz w:val="30"/>
          <w:szCs w:val="30"/>
        </w:rPr>
        <w:t>管理</w:t>
      </w:r>
    </w:p>
    <w:p w14:paraId="02C23BA2">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第五条</w:t>
      </w:r>
      <w:r>
        <w:rPr>
          <w:spacing w:val="9"/>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揭榜方应依据项目实际，紧扣目标，遵循目标相关性、政策相符性和经济合理性原则，在《申报书》中编制详细经费预算。预算应涵盖科研业务费、科研劳务费、科研活动费等科目，并提供明确的测算依据。</w:t>
      </w:r>
    </w:p>
    <w:p w14:paraId="6AF6C581">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第六条</w:t>
      </w:r>
      <w:r>
        <w:rPr>
          <w:spacing w:val="10"/>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科研业务费是指与项目研究相关的直接支出，包括：试验材料费、仪器设备费、测试、计算、分析费、动力费、能源费、差旅费、国际合作与交流费、调研费、图书资料费、检索查新费、资料及文献翻译费、打印复印费、网络费、计算机编程及机时费、学术交流费(会议费)、新技术引进费(培训费)、 论文发表及版面费、著作出版费、成果验收(鉴定)费、专利申请费、专利权维持费、项目申报费、评审费、论证费、科技奖励申报费、租车(用车)费、科研用车的维修费、通讯费、考察费、文化(办公)用品、科研人员人身安全保险费及其它合理费用等。科研业务费应根据项目开展需要合理预算和据实列支，不设比例限制。</w:t>
      </w:r>
    </w:p>
    <w:p w14:paraId="38EF071E">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（一）开支范围：科研业务费应严格限定在与项目研究相关的领域，不得用于发放人员福利、支付罚款、偿还债务等非科研支出。</w:t>
      </w:r>
    </w:p>
    <w:p w14:paraId="00B39776">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（二）票据要求：业务费支出需凭合法、有效的票据报销，票据应注明支出用途、日期、金额等关键信息，并由项目负责人签字确认；涉及大额支出（如单笔超过 1 万元的仪器设备采购、测试费等），需提供合同、协议或明细清单等佐证材料。</w:t>
      </w:r>
    </w:p>
    <w:p w14:paraId="69A01BA2">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（三）灵活性管理：科研业务费应根据项目开展需要合理预算和据实列支，不设固定比例限制，但揭榜方需建立内部审批流程，对业务费的支出进行合理性审核，避免浪费和违规开支。</w:t>
      </w:r>
    </w:p>
    <w:p w14:paraId="7ECBC2A4">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第七条</w:t>
      </w:r>
      <w:r>
        <w:rPr>
          <w:spacing w:val="-28"/>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科研劳务费是指参与项目研究相关的研究人员、科研辅助人员、项目聘用人员等劳务性和社会保险补助支出以及专家咨询费等。劳务费管理按以下规定执行：</w:t>
      </w:r>
    </w:p>
    <w:p w14:paraId="46FB3A1F">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（一）科研劳务费预算应在确保履行合同约定的前提下，总额原则上不超过项目总预算的30%。应根据项目研究任务的实际需求合理测算，并明确劳务人员的工作内容、工作时长及薪酬标准。</w:t>
      </w:r>
    </w:p>
    <w:p w14:paraId="0F99BC36">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发放范围：在完成技术合同登记的前提下，可对参加项目研究的本单位编制内人员列支劳务费，作为项目参加人员的绩效补贴，不设置月度发放标准，可根据项目阶段成果分次发放；对项目聘用的临时科研人员、研究生助研、校外专家等，按双方约定的薪酬标准发放劳务费。</w:t>
      </w:r>
    </w:p>
    <w:p w14:paraId="1AFEA8B1">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专家咨询费：邀请校外专家参与项目评审、论证、咨询等工作所支付的咨询费，需参照国家有关标准执行，不得超标准发放；咨询费发放需留存专家签字的领取记录或银行转账凭证，明确咨询服务的内容和时间。</w:t>
      </w:r>
    </w:p>
    <w:p w14:paraId="5DEB9182">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default"/>
          <w:spacing w:val="10"/>
          <w:lang w:val="en-US" w:eastAsia="zh-CN"/>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 xml:space="preserve">第八条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科研活动费是指项目在执行过程中发生的业务接待费用等。科研活动费开支比例不超过总预算的10%，后续不予调增。按照各单位现行的相关接待要求执行。</w:t>
      </w:r>
    </w:p>
    <w:p w14:paraId="6EF93D1A">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第九条</w:t>
      </w:r>
      <w:r>
        <w:rPr>
          <w:spacing w:val="-9"/>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项目经费支出应按照协议约定执行。项目经费预算原则上不得调整，由于项目研究任务调整以及不可抗力等原因，对项目经费预算造成较大影响，项目组应按规定程序提出申请，报乡村振兴联盟秘书处批准。预算调整获批后，方可按新预算执行，未经批准不得擅自调整。</w:t>
      </w:r>
    </w:p>
    <w:p w14:paraId="2A1AC362">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第十条</w:t>
      </w:r>
      <w:r>
        <w:rPr>
          <w:spacing w:val="10"/>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项目经费的报销实行项目负责人责任制。项目负责人对其项目经费开支的真实性、可靠性负责，对报销票据的合法性、合规性进行初审；项目所在单位（揭榜方）财务部门对项目经费的合理性、合规性进行复审，审核票据真伪、支出范围是否符合预算及本办法规定、审批手续是否完整等；经费开支手续必须完整，票据必须真实合法，严禁使用虚假票据报销，严禁套取、挪用项目经费。</w:t>
      </w:r>
    </w:p>
    <w:p w14:paraId="19FE43D5">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第十一条</w:t>
      </w:r>
      <w:r>
        <w:rPr>
          <w:spacing w:val="22"/>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科研仪器设备、商用软件、大宗材料等采购管理。项目经费购置设备按合同约定执行，合同无约定的，项目负责人根据实际需要采购，按申报单位采购管理规定执行。</w:t>
      </w:r>
    </w:p>
    <w:p w14:paraId="3B0456D4">
      <w:pPr>
        <w:keepNext w:val="0"/>
        <w:keepLines w:val="0"/>
        <w:pageBreakBefore w:val="0"/>
        <w:widowControl/>
        <w:kinsoku w:val="0"/>
        <w:wordWrap/>
        <w:overflowPunct/>
        <w:topLinePunct w:val="0"/>
        <w:autoSpaceDE w:val="0"/>
        <w:autoSpaceDN w:val="0"/>
        <w:bidi w:val="0"/>
        <w:adjustRightInd w:val="0"/>
        <w:snapToGrid w:val="0"/>
        <w:spacing w:before="97" w:line="600" w:lineRule="atLeast"/>
        <w:ind w:left="0" w:leftChars="0" w:firstLine="0" w:firstLineChars="0"/>
        <w:jc w:val="center"/>
        <w:textAlignment w:val="baseline"/>
        <w:outlineLvl w:val="2"/>
        <w:rPr>
          <w:rFonts w:ascii="黑体" w:hAnsi="黑体" w:eastAsia="黑体" w:cs="黑体"/>
          <w:b/>
          <w:bCs/>
          <w:spacing w:val="8"/>
          <w:sz w:val="30"/>
          <w:szCs w:val="30"/>
        </w:rPr>
      </w:pPr>
      <w:r>
        <w:rPr>
          <w:rFonts w:ascii="黑体" w:hAnsi="黑体" w:eastAsia="黑体" w:cs="黑体"/>
          <w:b/>
          <w:bCs/>
          <w:spacing w:val="8"/>
          <w:sz w:val="30"/>
          <w:szCs w:val="30"/>
        </w:rPr>
        <w:t>第</w:t>
      </w:r>
      <w:r>
        <w:rPr>
          <w:rFonts w:hint="eastAsia" w:ascii="黑体" w:hAnsi="黑体" w:eastAsia="黑体" w:cs="黑体"/>
          <w:b/>
          <w:bCs/>
          <w:spacing w:val="8"/>
          <w:sz w:val="30"/>
          <w:szCs w:val="30"/>
          <w:lang w:val="en-US" w:eastAsia="zh-CN"/>
        </w:rPr>
        <w:t>三</w:t>
      </w:r>
      <w:r>
        <w:rPr>
          <w:rFonts w:ascii="黑体" w:hAnsi="黑体" w:eastAsia="黑体" w:cs="黑体"/>
          <w:b/>
          <w:bCs/>
          <w:spacing w:val="8"/>
          <w:sz w:val="30"/>
          <w:szCs w:val="30"/>
        </w:rPr>
        <w:t>章</w:t>
      </w:r>
      <w:r>
        <w:rPr>
          <w:rFonts w:hint="eastAsia" w:ascii="黑体" w:hAnsi="黑体" w:eastAsia="黑体" w:cs="黑体"/>
          <w:b/>
          <w:bCs/>
          <w:spacing w:val="8"/>
          <w:sz w:val="30"/>
          <w:szCs w:val="30"/>
          <w:lang w:val="en-US" w:eastAsia="zh-CN"/>
        </w:rPr>
        <w:t xml:space="preserve"> </w:t>
      </w:r>
      <w:r>
        <w:rPr>
          <w:rFonts w:ascii="黑体" w:hAnsi="黑体" w:eastAsia="黑体" w:cs="黑体"/>
          <w:b/>
          <w:bCs/>
          <w:spacing w:val="8"/>
          <w:sz w:val="30"/>
          <w:szCs w:val="30"/>
        </w:rPr>
        <w:t>结题管理</w:t>
      </w:r>
    </w:p>
    <w:p w14:paraId="67B63D81">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jc w:val="both"/>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第十二条</w:t>
      </w:r>
      <w:r>
        <w:rPr>
          <w:spacing w:val="14"/>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项目实施周期结束后，揭榜方需在1个月内提交经费决算报告，附支出明细、票据复印件等佐证材料，经联盟秘书处审核通过后，方可办理结题手续；决算报告需与预算、合同约定一致，差异部分需作出书面说明。</w:t>
      </w:r>
    </w:p>
    <w:p w14:paraId="0098182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textAlignment w:val="baseline"/>
        <w:rPr>
          <w:sz w:val="29"/>
          <w:szCs w:val="29"/>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第十三条</w:t>
      </w:r>
      <w:r>
        <w:rPr>
          <w:spacing w:val="20"/>
          <w:sz w:val="29"/>
          <w:szCs w:val="29"/>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因揭榜方原因未完成项目任务的，结余经费由联盟收回，重新统筹用于其他“揭榜挂帅”项目。</w:t>
      </w:r>
    </w:p>
    <w:p w14:paraId="7820AB6D">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第十四条</w:t>
      </w:r>
      <w:r>
        <w:rPr>
          <w:spacing w:val="19"/>
          <w:sz w:val="29"/>
          <w:szCs w:val="29"/>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如果出现下列情况，项目结余经费由乡村振兴联盟暂时冻结，该项目负责人不得作为项目负责人再次申请揭榜挂帅项目立项：</w:t>
      </w:r>
    </w:p>
    <w:p w14:paraId="784BE79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（一）项目在研究过程中存在违法违规事件，造成严重不良影响的；</w:t>
      </w:r>
    </w:p>
    <w:p w14:paraId="53B9C1A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（二）因揭榜方原因未完成项目任务的;</w:t>
      </w:r>
    </w:p>
    <w:p w14:paraId="143462D1">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（三）经费使用存在严重违规行为（如挪用经费用于非科研支出、超标准发放劳务费或咨询费、未按规定缴纳个税等），经联盟秘书处责令整改后仍不纠正的；</w:t>
      </w:r>
    </w:p>
    <w:p w14:paraId="43A5F1D5">
      <w:pPr>
        <w:pStyle w:val="2"/>
        <w:keepNext w:val="0"/>
        <w:keepLines w:val="0"/>
        <w:pageBreakBefore w:val="0"/>
        <w:widowControl w:val="0"/>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bookmarkStart w:id="0" w:name="_GoBack"/>
      <w:bookmarkEnd w:id="0"/>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（四）拒绝接受联盟秘书处或有关部门对经费使用情况的监督检查，或隐瞒真实经费支出情况的。</w:t>
      </w:r>
    </w:p>
    <w:p w14:paraId="4D383ABF">
      <w:pPr>
        <w:keepNext w:val="0"/>
        <w:keepLines w:val="0"/>
        <w:pageBreakBefore w:val="0"/>
        <w:widowControl/>
        <w:kinsoku w:val="0"/>
        <w:wordWrap/>
        <w:overflowPunct/>
        <w:topLinePunct w:val="0"/>
        <w:autoSpaceDE w:val="0"/>
        <w:autoSpaceDN w:val="0"/>
        <w:bidi w:val="0"/>
        <w:adjustRightInd w:val="0"/>
        <w:snapToGrid w:val="0"/>
        <w:spacing w:before="97" w:line="600" w:lineRule="atLeast"/>
        <w:ind w:left="0" w:leftChars="0" w:firstLine="0" w:firstLineChars="0"/>
        <w:jc w:val="center"/>
        <w:textAlignment w:val="baseline"/>
        <w:outlineLvl w:val="2"/>
        <w:rPr>
          <w:rFonts w:hint="default" w:ascii="黑体" w:hAnsi="黑体" w:eastAsia="黑体" w:cs="黑体"/>
          <w:b/>
          <w:bCs/>
          <w:spacing w:val="8"/>
          <w:sz w:val="30"/>
          <w:szCs w:val="30"/>
          <w:lang w:val="en-US" w:eastAsia="zh-CN"/>
        </w:rPr>
      </w:pPr>
      <w:r>
        <w:rPr>
          <w:rFonts w:ascii="黑体" w:hAnsi="黑体" w:eastAsia="黑体" w:cs="黑体"/>
          <w:b/>
          <w:bCs/>
          <w:spacing w:val="8"/>
          <w:sz w:val="30"/>
          <w:szCs w:val="30"/>
        </w:rPr>
        <w:t>第</w:t>
      </w:r>
      <w:r>
        <w:rPr>
          <w:rFonts w:hint="eastAsia" w:ascii="黑体" w:hAnsi="黑体" w:eastAsia="黑体" w:cs="黑体"/>
          <w:b/>
          <w:bCs/>
          <w:spacing w:val="8"/>
          <w:sz w:val="30"/>
          <w:szCs w:val="30"/>
          <w:lang w:val="en-US" w:eastAsia="zh-CN"/>
        </w:rPr>
        <w:t>四</w:t>
      </w:r>
      <w:r>
        <w:rPr>
          <w:rFonts w:ascii="黑体" w:hAnsi="黑体" w:eastAsia="黑体" w:cs="黑体"/>
          <w:b/>
          <w:bCs/>
          <w:spacing w:val="8"/>
          <w:sz w:val="30"/>
          <w:szCs w:val="30"/>
        </w:rPr>
        <w:t>章</w:t>
      </w:r>
      <w:r>
        <w:rPr>
          <w:rFonts w:hint="eastAsia" w:ascii="黑体" w:hAnsi="黑体" w:eastAsia="黑体" w:cs="黑体"/>
          <w:b/>
          <w:bCs/>
          <w:spacing w:val="8"/>
          <w:sz w:val="30"/>
          <w:szCs w:val="30"/>
          <w:lang w:val="en-US" w:eastAsia="zh-CN"/>
        </w:rPr>
        <w:t xml:space="preserve"> 监督管理</w:t>
      </w:r>
    </w:p>
    <w:p w14:paraId="7DBF7FB2">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第十五条</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 xml:space="preserve"> 联盟秘书处职责</w:t>
      </w:r>
    </w:p>
    <w:p w14:paraId="3D167F56">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（一）监督检查：定期或不定期对项目经费使用情况进行监督检查，通过查阅财务凭证、项目台账、实地调研等方式，核实经费支出的真实性、合规性，及时发现和纠正经费使用中的问题；</w:t>
      </w:r>
    </w:p>
    <w:p w14:paraId="3C83B54A">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（二）信息公开：在符合保密规定的前提下，公开项目经费的预算、决算等信息，接受社会监督；对经费使用违规的项目和单位，在一定范围内进行通报批评；</w:t>
      </w:r>
    </w:p>
    <w:p w14:paraId="587925B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（三）投诉处理：受理有关项目经费使用的投诉举报，对投诉举报内容进行调查核实，依法依规处理，并将处理结果反馈投诉举报人（如需）；</w:t>
      </w:r>
    </w:p>
    <w:p w14:paraId="107632AF">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（四）制度完善：根据经费管理过程中发现的问题，及时修订和完善本办法及相关配套制度，提高经费管理的科学性和规范性。</w:t>
      </w:r>
    </w:p>
    <w:p w14:paraId="7638A8D3">
      <w:pPr>
        <w:pStyle w:val="2"/>
        <w:keepNext w:val="0"/>
        <w:keepLines/>
        <w:pageBreakBefore w:val="0"/>
        <w:widowControl/>
        <w:kinsoku/>
        <w:wordWrap/>
        <w:overflowPunct/>
        <w:topLinePunct w:val="0"/>
        <w:autoSpaceDE w:val="0"/>
        <w:autoSpaceDN w:val="0"/>
        <w:bidi w:val="0"/>
        <w:adjustRightInd w:val="0"/>
        <w:snapToGrid w:val="0"/>
        <w:spacing w:line="600" w:lineRule="exact"/>
        <w:ind w:left="0"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第十六条</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 xml:space="preserve"> 揭榜方职责</w:t>
      </w:r>
    </w:p>
    <w:p w14:paraId="2CA91359">
      <w:pPr>
        <w:pStyle w:val="2"/>
        <w:keepNext w:val="0"/>
        <w:keepLines w:val="0"/>
        <w:pageBreakBefore w:val="0"/>
        <w:widowControl w:val="0"/>
        <w:kinsoku/>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（一）内部管理：建立健全内部经费管理制度和内部控制流程，明确科研、财务、资产等部门在经费管理中的职责，加强对项目经费的全流程管理；</w:t>
      </w:r>
    </w:p>
    <w:p w14:paraId="3C677056">
      <w:pPr>
        <w:pStyle w:val="2"/>
        <w:keepNext w:val="0"/>
        <w:keepLines w:val="0"/>
        <w:pageBreakBefore w:val="0"/>
        <w:widowControl w:val="0"/>
        <w:kinsoku/>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（二）培训指导：组织项目负责人及科研人员开展经费管理政策培训，解读本办法及相关法律法规，提高科研人员的经费管理意识和合规性水平；</w:t>
      </w:r>
    </w:p>
    <w:p w14:paraId="078D4ACE">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（三）自查自纠：定期对本单位承担的揭榜挂帅项目经费使用情况进行自查，发现问题及时整改，并将自查结果报联盟秘书处备案；</w:t>
      </w:r>
    </w:p>
    <w:p w14:paraId="31F290F0">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（四）配合检查：积极配合联盟秘书处及有关部门的监督检查、审计工作，提供真实、完整的财务凭证、项目资料等，不得拒绝或拖延。</w:t>
      </w:r>
    </w:p>
    <w:p w14:paraId="3E3DF075">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第十七条</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 xml:space="preserve"> 项目负责人职责</w:t>
      </w:r>
    </w:p>
    <w:p w14:paraId="05E1201A">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（一）合规使用：严格按照预算和本办法规定使用项目经费，确保经费支出与项目研究相关，不发生违规开支行为；</w:t>
      </w:r>
    </w:p>
    <w:p w14:paraId="4338D11B">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（二）台账管理：建立项目经费使用台账，详细记录各项支出的用途、金额、日期、票据号等信息，确保经费支出可追溯；</w:t>
      </w:r>
    </w:p>
    <w:p w14:paraId="206E6C53">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（三）信息报送：按要求向联盟秘书处和揭榜方报送经费使用情况报告，及时反映预算执行进度、存在的问题及改进措施；</w:t>
      </w:r>
    </w:p>
    <w:p w14:paraId="41247357">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（四）接受监督：自觉接受联盟秘书处、揭榜方及有关部门的监督检查，如实提供经费使用情况，对检查中发现的问题及时整改。</w:t>
      </w:r>
    </w:p>
    <w:p w14:paraId="0A53CFF9">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第十八条</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 xml:space="preserve"> 责任追究</w:t>
      </w:r>
    </w:p>
    <w:p w14:paraId="65362059">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（一）揭榜方责任：如揭榜方未履行经费管理职责，导致项目经费使用存在严重违规问题，联盟将暂停其 1-3 年的项目申报资格，并视情节轻重，追究相关管理人员的责任；给联盟造成经济损失的，依法追究其赔偿责任。</w:t>
      </w:r>
    </w:p>
    <w:p w14:paraId="3FA07D54">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（二）项目负责人责任：项目负责人存在虚报冒领、挪用经费、使用虚假票据等违规行为的，联盟将取消其项目负责人资格，追回违规使用的经费，并暂停其 3-5 年的项目申报资格；情节严重的，移交有关部门追究法律责任。</w:t>
      </w:r>
    </w:p>
    <w:p w14:paraId="1260CE7A">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640"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（三）科研人员责任：参与项目的科研人员在劳务费领取、费用报销等方面存在违规行为的，由揭榜方按内部规定处理，追回违规所得；情节严重的，取消其参与联盟项目的资格，并通报其所在单位。</w:t>
      </w:r>
    </w:p>
    <w:p w14:paraId="235A4E3C">
      <w:pPr>
        <w:keepNext w:val="0"/>
        <w:keepLines w:val="0"/>
        <w:pageBreakBefore w:val="0"/>
        <w:widowControl/>
        <w:kinsoku w:val="0"/>
        <w:wordWrap/>
        <w:overflowPunct/>
        <w:topLinePunct w:val="0"/>
        <w:autoSpaceDE w:val="0"/>
        <w:autoSpaceDN w:val="0"/>
        <w:bidi w:val="0"/>
        <w:adjustRightInd w:val="0"/>
        <w:snapToGrid w:val="0"/>
        <w:spacing w:before="97" w:line="600" w:lineRule="atLeast"/>
        <w:ind w:left="0" w:leftChars="0" w:firstLine="0" w:firstLineChars="0"/>
        <w:jc w:val="center"/>
        <w:textAlignment w:val="baseline"/>
        <w:outlineLvl w:val="2"/>
        <w:rPr>
          <w:rFonts w:ascii="黑体" w:hAnsi="黑体" w:eastAsia="黑体" w:cs="黑体"/>
          <w:b/>
          <w:bCs/>
          <w:spacing w:val="8"/>
          <w:sz w:val="30"/>
          <w:szCs w:val="30"/>
        </w:rPr>
      </w:pPr>
      <w:r>
        <w:rPr>
          <w:rFonts w:ascii="黑体" w:hAnsi="黑体" w:eastAsia="黑体" w:cs="黑体"/>
          <w:b/>
          <w:bCs/>
          <w:spacing w:val="8"/>
          <w:sz w:val="30"/>
          <w:szCs w:val="30"/>
        </w:rPr>
        <w:t>第</w:t>
      </w:r>
      <w:r>
        <w:rPr>
          <w:rFonts w:hint="eastAsia" w:ascii="黑体" w:hAnsi="黑体" w:eastAsia="黑体" w:cs="黑体"/>
          <w:b/>
          <w:bCs/>
          <w:spacing w:val="8"/>
          <w:sz w:val="30"/>
          <w:szCs w:val="30"/>
          <w:lang w:val="en-US" w:eastAsia="zh-CN"/>
        </w:rPr>
        <w:t>四</w:t>
      </w:r>
      <w:r>
        <w:rPr>
          <w:rFonts w:ascii="黑体" w:hAnsi="黑体" w:eastAsia="黑体" w:cs="黑体"/>
          <w:b/>
          <w:bCs/>
          <w:spacing w:val="8"/>
          <w:sz w:val="30"/>
          <w:szCs w:val="30"/>
        </w:rPr>
        <w:t>章附则</w:t>
      </w:r>
    </w:p>
    <w:p w14:paraId="2B64ED2B">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spacing w:val="16"/>
          <w:sz w:val="29"/>
          <w:szCs w:val="29"/>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第十九条</w:t>
      </w:r>
      <w:r>
        <w:rPr>
          <w:b w:val="0"/>
          <w:bCs w:val="0"/>
          <w:spacing w:val="18"/>
          <w:sz w:val="29"/>
          <w:szCs w:val="29"/>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本办法执行期内，与国家、地方政府等相关管 理规定不一致的，以国家和地方政府规定为准。</w:t>
      </w:r>
    </w:p>
    <w:p w14:paraId="1A3CE058">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eastAsia="仿宋"/>
          <w:lang w:eastAsia="zh-CN"/>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第二十条</w:t>
      </w:r>
      <w:r>
        <w:rPr>
          <w:spacing w:val="-15"/>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本办法自发布之日起实施，适用于西南民族地区乡村振兴联盟2025年度“揭榜挂帅”项目。</w:t>
      </w:r>
    </w:p>
    <w:p w14:paraId="18B69F3E">
      <w:pPr>
        <w:pStyle w:val="2"/>
        <w:keepNext w:val="0"/>
        <w:keepLines w:val="0"/>
        <w:pageBreakBefore w:val="0"/>
        <w:widowControl/>
        <w:kinsoku w:val="0"/>
        <w:wordWrap/>
        <w:overflowPunct/>
        <w:topLinePunct w:val="0"/>
        <w:autoSpaceDE w:val="0"/>
        <w:autoSpaceDN w:val="0"/>
        <w:bidi w:val="0"/>
        <w:adjustRightInd w:val="0"/>
        <w:snapToGrid w:val="0"/>
        <w:spacing w:line="600" w:lineRule="atLeast"/>
        <w:ind w:right="0" w:firstLine="643" w:firstLineChars="200"/>
        <w:textAlignment w:val="baseline"/>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snapToGrid w:val="0"/>
          <w:color w:val="000000"/>
          <w:spacing w:val="0"/>
          <w:kern w:val="0"/>
          <w:sz w:val="32"/>
          <w:szCs w:val="32"/>
          <w:shd w:val="clear" w:color="auto" w:fill="FFFFFF"/>
          <w:lang w:val="en-US" w:eastAsia="zh-CN" w:bidi="ar"/>
        </w:rPr>
        <w:t>第二十一条</w:t>
      </w:r>
      <w:r>
        <w:rPr>
          <w:spacing w:val="6"/>
        </w:rPr>
        <w:t xml:space="preserve"> </w:t>
      </w:r>
      <w:r>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t>本办法由西南民族地区乡村振兴联盟秘书处负责解释；联盟秘书处可根据实际执行情况，对本办法进行修订和完善，修订后的办法需及时向各揭榜方公布。</w:t>
      </w:r>
    </w:p>
    <w:p w14:paraId="5A1ECB10">
      <w:pPr>
        <w:pStyle w:val="2"/>
        <w:spacing w:before="95" w:line="367" w:lineRule="auto"/>
        <w:ind w:right="8" w:firstLine="654"/>
        <w:rPr>
          <w:rFonts w:hint="eastAsia" w:ascii="仿宋_GB2312" w:hAnsi="仿宋_GB2312" w:eastAsia="仿宋_GB2312" w:cs="仿宋_GB2312"/>
          <w:i w:val="0"/>
          <w:iCs w:val="0"/>
          <w:caps w:val="0"/>
          <w:snapToGrid w:val="0"/>
          <w:color w:val="000000"/>
          <w:spacing w:val="0"/>
          <w:kern w:val="0"/>
          <w:sz w:val="32"/>
          <w:szCs w:val="32"/>
          <w:shd w:val="clear" w:color="auto" w:fill="FFFFFF"/>
          <w:lang w:val="en-US" w:eastAsia="zh-CN" w:bidi="ar"/>
        </w:rPr>
      </w:pPr>
    </w:p>
    <w:p w14:paraId="485789A1">
      <w:pPr>
        <w:spacing w:line="242" w:lineRule="auto"/>
        <w:rPr>
          <w:rFonts w:ascii="Arial"/>
          <w:sz w:val="21"/>
        </w:rPr>
      </w:pPr>
    </w:p>
    <w:p w14:paraId="520B1578">
      <w:pPr>
        <w:spacing w:line="242" w:lineRule="auto"/>
        <w:rPr>
          <w:rFonts w:ascii="Arial"/>
          <w:sz w:val="21"/>
        </w:rPr>
      </w:pPr>
    </w:p>
    <w:p w14:paraId="404AE0FA">
      <w:pPr>
        <w:spacing w:line="242" w:lineRule="auto"/>
        <w:rPr>
          <w:rFonts w:ascii="Arial"/>
          <w:sz w:val="21"/>
        </w:rPr>
      </w:pPr>
    </w:p>
    <w:p w14:paraId="0A6798CE">
      <w:pPr>
        <w:spacing w:line="242" w:lineRule="auto"/>
        <w:rPr>
          <w:rFonts w:ascii="Arial"/>
          <w:sz w:val="21"/>
        </w:rPr>
      </w:pPr>
    </w:p>
    <w:p w14:paraId="7AF5AF34">
      <w:pPr>
        <w:spacing w:line="242" w:lineRule="auto"/>
        <w:rPr>
          <w:rFonts w:ascii="Arial"/>
          <w:sz w:val="21"/>
        </w:rPr>
      </w:pPr>
    </w:p>
    <w:p w14:paraId="30FF2FD1">
      <w:pPr>
        <w:spacing w:line="242" w:lineRule="auto"/>
        <w:rPr>
          <w:rFonts w:ascii="Arial"/>
          <w:sz w:val="21"/>
        </w:rPr>
      </w:pPr>
      <w:r>
        <w:pict>
          <v:shape id="_x0000_s1026" o:spid="_x0000_s1026" style="position:absolute;left:0pt;margin-left:0.25pt;margin-top:11.2pt;height:0.5pt;width:429.05pt;z-index:251660288;mso-width-relative:page;mso-height-relative:page;" filled="f" stroked="t" coordsize="8580,10" path="m0,5l3980,5m3980,5l7180,5m7180,5l8580,5e">
            <v:fill on="f" focussize="0,0"/>
            <v:stroke weight="0.5pt" color="#000000" miterlimit="10" joinstyle="miter"/>
            <v:imagedata o:title=""/>
            <o:lock v:ext="edit"/>
          </v:shape>
        </w:pict>
      </w:r>
    </w:p>
    <w:p w14:paraId="1521BE86">
      <w:pPr>
        <w:spacing w:before="91" w:line="219" w:lineRule="auto"/>
        <w:ind w:left="19"/>
        <w:rPr>
          <w:rFonts w:ascii="宋体" w:hAnsi="宋体" w:eastAsia="宋体" w:cs="宋体"/>
          <w:sz w:val="28"/>
          <w:szCs w:val="28"/>
        </w:rPr>
      </w:pPr>
      <w:r>
        <w:rPr>
          <w:rFonts w:hint="default" w:ascii="宋体" w:hAnsi="宋体" w:eastAsia="宋体" w:cs="宋体"/>
          <w:spacing w:val="2"/>
          <w:sz w:val="28"/>
          <w:szCs w:val="28"/>
          <w:lang w:val="en-US"/>
        </w:rPr>
        <w:pict>
          <v:shape id="_x0000_s1027" o:spid="_x0000_s1027" style="position:absolute;left:0pt;margin-left:0.25pt;margin-top:23.05pt;height:0.5pt;width:429.05pt;z-index:251661312;mso-width-relative:page;mso-height-relative:page;" filled="f" stroked="t" coordsize="8580,10" path="m0,5l3980,5m3980,5l7180,5m7180,5l8580,5e">
            <v:fill on="f" focussize="0,0"/>
            <v:stroke weight="0.5pt" color="#000000" miterlimit="10" joinstyle="miter"/>
            <v:imagedata o:title=""/>
            <o:lock v:ext="edit"/>
          </v:shape>
        </w:pict>
      </w:r>
      <w:r>
        <w:rPr>
          <w:rFonts w:hint="eastAsia" w:ascii="宋体" w:hAnsi="宋体" w:eastAsia="宋体" w:cs="宋体"/>
          <w:spacing w:val="2"/>
          <w:sz w:val="28"/>
          <w:szCs w:val="28"/>
          <w:lang w:val="en-US" w:eastAsia="zh-CN"/>
        </w:rPr>
        <w:t>西南民族地区乡村振兴联盟秘书处</w:t>
      </w:r>
      <w:r>
        <w:rPr>
          <w:rFonts w:ascii="宋体" w:hAnsi="宋体" w:eastAsia="宋体" w:cs="宋体"/>
          <w:spacing w:val="2"/>
          <w:sz w:val="28"/>
          <w:szCs w:val="28"/>
        </w:rPr>
        <w:t xml:space="preserve"> </w:t>
      </w:r>
      <w:r>
        <w:rPr>
          <w:rFonts w:ascii="宋体" w:hAnsi="宋体" w:eastAsia="宋体" w:cs="宋体"/>
          <w:sz w:val="28"/>
          <w:szCs w:val="28"/>
        </w:rPr>
        <w:t xml:space="preserve">            </w:t>
      </w:r>
      <w:r>
        <w:rPr>
          <w:rFonts w:ascii="宋体" w:hAnsi="宋体" w:eastAsia="宋体" w:cs="宋体"/>
          <w:spacing w:val="2"/>
          <w:sz w:val="28"/>
          <w:szCs w:val="28"/>
        </w:rPr>
        <w:t>2025年</w:t>
      </w:r>
      <w:r>
        <w:rPr>
          <w:rFonts w:hint="eastAsia" w:ascii="宋体" w:hAnsi="宋体" w:eastAsia="宋体" w:cs="宋体"/>
          <w:spacing w:val="2"/>
          <w:sz w:val="28"/>
          <w:szCs w:val="28"/>
          <w:lang w:val="en-US" w:eastAsia="zh-CN"/>
        </w:rPr>
        <w:t>11</w:t>
      </w:r>
      <w:r>
        <w:rPr>
          <w:rFonts w:ascii="宋体" w:hAnsi="宋体" w:eastAsia="宋体" w:cs="宋体"/>
          <w:spacing w:val="2"/>
          <w:sz w:val="28"/>
          <w:szCs w:val="28"/>
        </w:rPr>
        <w:t>月</w:t>
      </w:r>
      <w:r>
        <w:rPr>
          <w:rFonts w:hint="eastAsia" w:ascii="宋体" w:hAnsi="宋体" w:eastAsia="宋体" w:cs="宋体"/>
          <w:spacing w:val="2"/>
          <w:sz w:val="28"/>
          <w:szCs w:val="28"/>
          <w:lang w:val="en-US" w:eastAsia="zh-CN"/>
        </w:rPr>
        <w:t>5</w:t>
      </w:r>
      <w:r>
        <w:rPr>
          <w:rFonts w:ascii="宋体" w:hAnsi="宋体" w:eastAsia="宋体" w:cs="宋体"/>
          <w:spacing w:val="2"/>
          <w:sz w:val="28"/>
          <w:szCs w:val="28"/>
        </w:rPr>
        <w:t>日印发</w:t>
      </w:r>
    </w:p>
    <w:sectPr>
      <w:footerReference r:id="rId5" w:type="default"/>
      <w:pgSz w:w="11900" w:h="16830"/>
      <w:pgMar w:top="1430" w:right="1710" w:bottom="1524" w:left="1609" w:header="0" w:footer="1109"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936CC">
    <w:pPr>
      <w:spacing w:before="1" w:line="233" w:lineRule="auto"/>
      <w:ind w:left="40"/>
      <w:rPr>
        <w:rFonts w:ascii="宋体" w:hAnsi="宋体" w:eastAsia="宋体" w:cs="宋体"/>
        <w:sz w:val="32"/>
        <w:szCs w:val="32"/>
      </w:rPr>
    </w:pPr>
    <w:r>
      <w:rPr>
        <w:sz w:val="32"/>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59D101">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E59D101">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ZWY3YTg1OWI3MGU5NWExOTZjZTkwZjc3YjgyMDczMjEifQ=="/>
  </w:docVars>
  <w:rsids>
    <w:rsidRoot w:val="00000000"/>
    <w:rsid w:val="01600318"/>
    <w:rsid w:val="01CE57B8"/>
    <w:rsid w:val="01DE1AD3"/>
    <w:rsid w:val="02322A46"/>
    <w:rsid w:val="02783D4A"/>
    <w:rsid w:val="03103BAE"/>
    <w:rsid w:val="04727719"/>
    <w:rsid w:val="04D23811"/>
    <w:rsid w:val="058175A9"/>
    <w:rsid w:val="058906F3"/>
    <w:rsid w:val="05DE7F94"/>
    <w:rsid w:val="06D3734E"/>
    <w:rsid w:val="06F07F7E"/>
    <w:rsid w:val="0AB44875"/>
    <w:rsid w:val="0C5F3CED"/>
    <w:rsid w:val="0D0B5F4F"/>
    <w:rsid w:val="0D390733"/>
    <w:rsid w:val="0E643BC1"/>
    <w:rsid w:val="0F6069D0"/>
    <w:rsid w:val="11F33019"/>
    <w:rsid w:val="143E4A1F"/>
    <w:rsid w:val="152F5DFE"/>
    <w:rsid w:val="16353A73"/>
    <w:rsid w:val="18714C97"/>
    <w:rsid w:val="18F41B50"/>
    <w:rsid w:val="19607EAA"/>
    <w:rsid w:val="19C86B39"/>
    <w:rsid w:val="1A9A2D37"/>
    <w:rsid w:val="1BB151BF"/>
    <w:rsid w:val="20056C93"/>
    <w:rsid w:val="231F5A1C"/>
    <w:rsid w:val="252A79D3"/>
    <w:rsid w:val="25B54B0D"/>
    <w:rsid w:val="25C27366"/>
    <w:rsid w:val="27FE35E3"/>
    <w:rsid w:val="29561E6C"/>
    <w:rsid w:val="29830DB8"/>
    <w:rsid w:val="29867BA4"/>
    <w:rsid w:val="2A28561B"/>
    <w:rsid w:val="2A71059F"/>
    <w:rsid w:val="2BFE1845"/>
    <w:rsid w:val="2D5664DE"/>
    <w:rsid w:val="2E137AF6"/>
    <w:rsid w:val="2E894691"/>
    <w:rsid w:val="2EB530CC"/>
    <w:rsid w:val="2FEE0656"/>
    <w:rsid w:val="31455D3E"/>
    <w:rsid w:val="330705C0"/>
    <w:rsid w:val="346611EF"/>
    <w:rsid w:val="34745423"/>
    <w:rsid w:val="35066379"/>
    <w:rsid w:val="35C061FD"/>
    <w:rsid w:val="374E0226"/>
    <w:rsid w:val="3787198A"/>
    <w:rsid w:val="37BA58BB"/>
    <w:rsid w:val="38211DDE"/>
    <w:rsid w:val="388B52BA"/>
    <w:rsid w:val="397D1296"/>
    <w:rsid w:val="3A1165BF"/>
    <w:rsid w:val="3A3A5E68"/>
    <w:rsid w:val="3A855F55"/>
    <w:rsid w:val="3AB35072"/>
    <w:rsid w:val="3B9C2123"/>
    <w:rsid w:val="3F271716"/>
    <w:rsid w:val="400C5122"/>
    <w:rsid w:val="41BB3C3E"/>
    <w:rsid w:val="42032ED0"/>
    <w:rsid w:val="425F29E4"/>
    <w:rsid w:val="429C7609"/>
    <w:rsid w:val="448C6F86"/>
    <w:rsid w:val="458E4A51"/>
    <w:rsid w:val="475D5F51"/>
    <w:rsid w:val="47807AFB"/>
    <w:rsid w:val="484636CE"/>
    <w:rsid w:val="491A07F8"/>
    <w:rsid w:val="4A8D175A"/>
    <w:rsid w:val="4B0515C0"/>
    <w:rsid w:val="4B095830"/>
    <w:rsid w:val="4DB60D55"/>
    <w:rsid w:val="4E9C38A3"/>
    <w:rsid w:val="4FDD62BF"/>
    <w:rsid w:val="51AA02F7"/>
    <w:rsid w:val="52686051"/>
    <w:rsid w:val="52D27B05"/>
    <w:rsid w:val="5492579E"/>
    <w:rsid w:val="5791310E"/>
    <w:rsid w:val="579323C8"/>
    <w:rsid w:val="58CE76DC"/>
    <w:rsid w:val="5C1100E2"/>
    <w:rsid w:val="5E323AA8"/>
    <w:rsid w:val="61274701"/>
    <w:rsid w:val="61E5377E"/>
    <w:rsid w:val="62AB2B83"/>
    <w:rsid w:val="62B630E2"/>
    <w:rsid w:val="62BD5F52"/>
    <w:rsid w:val="64DE21F1"/>
    <w:rsid w:val="66883A95"/>
    <w:rsid w:val="669F19B6"/>
    <w:rsid w:val="67FE6958"/>
    <w:rsid w:val="6BD3071E"/>
    <w:rsid w:val="6C4371D7"/>
    <w:rsid w:val="6EB44D48"/>
    <w:rsid w:val="701557A9"/>
    <w:rsid w:val="701C77FC"/>
    <w:rsid w:val="718B3849"/>
    <w:rsid w:val="71ED0250"/>
    <w:rsid w:val="726D0144"/>
    <w:rsid w:val="72EB47D9"/>
    <w:rsid w:val="7808109F"/>
    <w:rsid w:val="79FA674E"/>
    <w:rsid w:val="7C835849"/>
    <w:rsid w:val="7D0B583E"/>
    <w:rsid w:val="7D5F709D"/>
    <w:rsid w:val="7E3B42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3768</Words>
  <Characters>3783</Characters>
  <TotalTime>9</TotalTime>
  <ScaleCrop>false</ScaleCrop>
  <LinksUpToDate>false</LinksUpToDate>
  <CharactersWithSpaces>3841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2025-11-04T10:16:00Z</dcterms:created>
  <dc:creator>Administrator</dc:creator>
  <cp:lastModifiedBy>GANL</cp:lastModifiedBy>
  <dcterms:modified xsi:type="dcterms:W3CDTF">2025-11-05T12:24:52Z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2025-11-04T10:16:45Z</vt:filetime>
  </property>
  <property fmtid="{D5CDD505-2E9C-101B-9397-08002B2CF9AE}" pid="4" name="UsrData">
    <vt:lpwstr>69096207180e1d001ffacac9wl</vt:lpwstr>
  </property>
  <property fmtid="{D5CDD505-2E9C-101B-9397-08002B2CF9AE}" pid="5" name="KSOTemplateDocerSaveRecord">
    <vt:lpwstr>eyJoZGlkIjoiYjEyMjNkM2Q4MDRmOTcyNTdkMjdmN2E5ZTBlMDhkYTkiLCJ1c2VySWQiOiIyNzc0OTQ2NTMifQ==</vt:lpwstr>
  </property>
  <property fmtid="{D5CDD505-2E9C-101B-9397-08002B2CF9AE}" pid="6" name="KSOProductBuildVer">
    <vt:lpwstr>2052-12.1.0.22529</vt:lpwstr>
  </property>
  <property fmtid="{D5CDD505-2E9C-101B-9397-08002B2CF9AE}" pid="7" name="ICV">
    <vt:lpwstr>08D993B88C7A497D88EDBABA86E00CAE_13</vt:lpwstr>
  </property>
</Properties>
</file>